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114567" w:rsidRDefault="00114567">
            <w:bookmarkStart w:id="0" w:name="_GoBack"/>
            <w:bookmarkEnd w:id="0"/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F73E6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</w:t>
                  </w:r>
                  <w:r w:rsidR="00951E4B">
                    <w:rPr>
                      <w:rFonts w:ascii="Verdana" w:hAnsi="Verdana"/>
                    </w:rPr>
                    <w:t>ой аптекой,</w:t>
                  </w:r>
                  <w:r w:rsidR="004B5781" w:rsidRPr="004B5781">
                    <w:rPr>
                      <w:rFonts w:ascii="Verdana" w:hAnsi="Verdana"/>
                    </w:rPr>
                    <w:t xml:space="preserve"> </w:t>
                  </w:r>
                  <w:r w:rsidR="00951E4B">
                    <w:rPr>
                      <w:rFonts w:ascii="Verdana" w:hAnsi="Verdana"/>
                    </w:rPr>
                    <w:t>встроенным раздаточным пунктом молочной кухни (корпус 3)</w:t>
                  </w:r>
                  <w:r w:rsidR="004B5781" w:rsidRPr="004B5781">
                    <w:rPr>
                      <w:rFonts w:ascii="Verdana" w:hAnsi="Verdana"/>
                    </w:rPr>
                    <w:t xml:space="preserve"> по адресу: Ленинградская область, Всеволожский район, земли САОЗТ «Ручьи», </w:t>
                  </w:r>
                </w:p>
                <w:p w:rsidR="002E1832" w:rsidRPr="004B5781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="00951E4B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9A3681" w:rsidRP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01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сентября 20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C19F0" w:rsidRPr="00E21CF9" w:rsidRDefault="00AC19F0" w:rsidP="00AC19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15 сентября </w:t>
                  </w: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E21CF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Юридический адрес: 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 188643, Ленинградская область, Всеволожский район, г.Всеволожск, ул. Социалистическая, д. 114-А.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Pr="004979BE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00642C" w:rsidRPr="0000642C" w:rsidRDefault="00A713A7" w:rsidP="000064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года,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57F7D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00642C" w:rsidRPr="0000642C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на 30.06.2014 составил 128 тыс. руб. (Сто двадцать восемь тысяч рублей)</w:t>
                  </w:r>
                  <w:r w:rsidR="0000642C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00642C" w:rsidRPr="0000642C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  на 30.06.2014 составил 795 059 тыс. руб. (Семьсот девяносто пять миллионов пятьдесят девять тысяч рублей)</w:t>
                  </w:r>
                  <w:r w:rsidR="0000642C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="0000642C" w:rsidRPr="0000642C">
                    <w:rPr>
                      <w:rFonts w:ascii="Verdana" w:hAnsi="Verdana"/>
                      <w:sz w:val="20"/>
                      <w:szCs w:val="20"/>
                    </w:rPr>
                    <w:t>Размер дебиторской задолженности  на 30.06.2014 составил 107 017 тыс. руб. (Сто семь миллионов семнадцать тысяч рублей).</w:t>
                  </w:r>
                </w:p>
                <w:p w:rsidR="00DD2C68" w:rsidRPr="004B5781" w:rsidRDefault="00DD2C68" w:rsidP="003260E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этажного, в том числе  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01B7F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01B7F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01B7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5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ти</w:t>
                  </w:r>
                  <w:r w:rsidR="00BE7EC6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>(</w:t>
                  </w:r>
                  <w:r w:rsidR="00401B7F" w:rsidRPr="00401B7F">
                    <w:rPr>
                      <w:rFonts w:ascii="Verdana" w:hAnsi="Verdana" w:cs="Arial"/>
                      <w:sz w:val="20"/>
                      <w:szCs w:val="20"/>
                    </w:rPr>
                    <w:t>6,7,8,9,10</w:t>
                  </w:r>
                  <w:r w:rsidR="0056076A" w:rsidRPr="00401B7F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секции) </w:t>
                  </w:r>
                  <w:r w:rsidRPr="00401B7F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01B7F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01B7F">
                    <w:rPr>
                      <w:rFonts w:ascii="Verdana" w:hAnsi="Verdana"/>
                      <w:sz w:val="20"/>
                      <w:szCs w:val="20"/>
                    </w:rPr>
                    <w:t xml:space="preserve"> встроенн</w:t>
                  </w:r>
                  <w:r w:rsidR="00401B7F" w:rsidRPr="00401B7F">
                    <w:rPr>
                      <w:rFonts w:ascii="Verdana" w:hAnsi="Verdana"/>
                      <w:sz w:val="20"/>
                      <w:szCs w:val="20"/>
                    </w:rPr>
                    <w:t>ой аптекой, встроенным раздаточным пунктом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 xml:space="preserve"> молочной кухни (корпус 3)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401B7F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9A36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AC19F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3E76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201</w:t>
                  </w:r>
                  <w:r w:rsidR="009A3681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</w:t>
                  </w:r>
                  <w:r w:rsidR="00AC19F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3E76" w:rsidRPr="009A3681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учреждение</w:t>
                  </w:r>
                  <w:r w:rsidR="00A93DD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1-00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22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-14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11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.0</w:t>
                  </w:r>
                  <w:r w:rsidR="009A3681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447E7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года.</w:t>
                  </w:r>
                </w:p>
                <w:p w:rsidR="00016CC9" w:rsidRPr="004B5781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F75624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47504307-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57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22 августа </w:t>
                  </w:r>
                  <w:r w:rsidR="00447E7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201</w:t>
                  </w:r>
                  <w:r w:rsidR="00BB4315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«Муринское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ноября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E1D7A" w:rsidRDefault="002E1D7A" w:rsidP="002E1D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 кредитный договор № 0133-14-000505 от 30.04.2014г.  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Открытым акционерным обществом «Банк Санкт-Петербург»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Окончательный срок погашения кредита – не позднее 29 апреля 2016 года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E1D7A" w:rsidRPr="004B5781" w:rsidRDefault="002E1D7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/10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дата  регистрации 2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жилым домом 1-го этапа строительства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Pr="00562260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запада – межквартальным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проезд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ами в соответствии с проектом планировки территории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F7562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B021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занятий физкультурой, площадка для отдыха вз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рослого населения,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детская круговая прогулочная велодорожка,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мусороконтейнерн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57 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машино-мест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трансформаторная подстанция, дизельная установка в контейнере,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асфальтобетонных проездов, тротуаров из бетонных плит, устройство газонов, посадка кустарников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площадках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401B7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52180,0 кв.м; строительный объем всего-166133,88 куб.м., в том числе </w:t>
                  </w:r>
                  <w:r w:rsidR="0007568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надземной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части</w:t>
                  </w:r>
                  <w:r w:rsidR="00401B7F" w:rsidRP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156219,68</w:t>
                  </w:r>
                  <w:r w:rsidR="00401B7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количество встроен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о-пристроенных помещений – 11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r w:rsidR="00401B7F" w:rsidRP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01B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квартир – 31939,59 кв.м, общее количество квартир 884 шт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765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459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401B7F" w:rsidRDefault="00401B7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трехкомнатные – 17 шт.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E8241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A225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CD46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2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,00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</w:t>
                  </w:r>
                  <w:r w:rsidR="00F06D7B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E46769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53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6149F4" w:rsidRPr="00A22551" w:rsidRDefault="006149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3-комнатные от 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76,79 кв.м.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до</w:t>
                  </w:r>
                  <w:r w:rsidR="00A22551"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78,56 кв.м. </w:t>
                  </w:r>
                  <w:r w:rsidRPr="00A2255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водомерный узел (17.42 кв.м), насосная станция (12,96 кв.м),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6149F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кв.м), насосная станция пожаротушения (21.20 кв.м)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51,06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коридор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82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12.24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432.66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149F4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 секций 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8.9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523.83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544.95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614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149F4" w:rsidRDefault="006149F4" w:rsidP="006149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подвале 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488,89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(10,89 кв.м), лестница (6,03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встройки (13.41 кв.м), ИТП (16,75 кв.м). 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497A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6.7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139,50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№1 (114,14 кв.м). магазин №2 (122,89 кв.м), магазин №3 (115.76 кв.м). магазин № 4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(229,48 кв.м).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F57E15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12,21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№5 (181.49 кв.м), магазин №6 (81,73 кв.м), магазин №7 (150,58 кв.м). </w:t>
                  </w:r>
                </w:p>
                <w:p w:rsid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 w:rsidR="00F57E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аптека 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(131,93 кв.м), молочная кухня (104,46 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№8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(1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помещения жилого фонда (</w:t>
                  </w:r>
                  <w:r w:rsidR="00A12D2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69.20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A12D2C" w:rsidRDefault="00A12D2C" w:rsidP="00A12D2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 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магазин (550,53 кв.м),  помещения жилого фонда (80,09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 w:rsidR="0069374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6,7,8,9,10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6,7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165,33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72390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116,72 </w:t>
                  </w:r>
                  <w:r w:rsidR="0072390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дизенфекции мусоропровода  (3,84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2,91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(13,2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7,16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206.80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прочистки и дизенфекции мусоропровода 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8,59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(12,80 кв.м),</w:t>
                  </w:r>
                  <w:r w:rsidR="002C2C9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4,31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кв.м),лестница (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66.14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</w:t>
                  </w:r>
                  <w:r w:rsidR="002C2C9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C2C98" w:rsidRDefault="002C2C98" w:rsidP="002C2C9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251.39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прочистки и дизенфекции мусоропровода  (3,84 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воздуховолов (18,94 кв.м),лестница (4.18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5,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прочистки и дизенфекции мусоропровода 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3,84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8,34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6,85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воздухово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18.94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кв.м),лестница (</w:t>
                  </w:r>
                  <w:r w:rsidR="00DD3DD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4,18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E39F1" w:rsidRDefault="002E39F1" w:rsidP="002E39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10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255,48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245,39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прочистки и дизенфекции мусоропровода  (3,84 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6.85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воздуховолов (18,94 кв.м),лестница (4.18 кв.м).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аптека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молочная кухня.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венткамеры,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канализования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дизенфекции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4C3AF2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AC19F0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4315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квартал</w:t>
                  </w:r>
                  <w:r w:rsidR="0029250F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201</w:t>
                  </w:r>
                  <w:r w:rsidR="00075687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7</w:t>
                  </w:r>
                  <w:r w:rsidR="0029250F" w:rsidRPr="00075687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года</w:t>
                  </w:r>
                  <w:r w:rsidR="0029250F" w:rsidRPr="00075687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016CC9" w:rsidRPr="004B5781" w:rsidRDefault="003F224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Администрация муниципального образования «Муринское сельское поселение» Всеволожского муниципального района Ленинградской области.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B63322" w:rsidRPr="0003503D" w:rsidRDefault="00016CC9" w:rsidP="0057307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Согласно </w:t>
                  </w:r>
                  <w:r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смете существующего проекта </w:t>
                  </w:r>
                  <w:r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строительства </w:t>
                  </w:r>
                  <w:r w:rsidR="0003503D" w:rsidRPr="0003503D">
                    <w:rPr>
                      <w:rFonts w:ascii="Verdana" w:hAnsi="Verdana"/>
                      <w:sz w:val="20"/>
                      <w:szCs w:val="20"/>
                    </w:rPr>
                    <w:t xml:space="preserve"> 1 978 398 319-00   </w:t>
                  </w:r>
                  <w:r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</w:t>
                  </w:r>
                  <w:r w:rsidR="0003503D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один</w:t>
                  </w:r>
                  <w:r w:rsidR="00B63322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миллиард </w:t>
                  </w:r>
                  <w:r w:rsidR="0003503D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девятьсот семьдесят восемь миллионов триста девяносто восемь  тысяч триста девятнадцать)</w:t>
                  </w:r>
                  <w:r w:rsidR="00B63322" w:rsidRPr="000350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рублей. 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56076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Нет</w:t>
                  </w:r>
                </w:p>
                <w:p w:rsidR="00016CC9" w:rsidRPr="004B5781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317CF4" w:rsidRPr="005F5A09" w:rsidRDefault="00317CF4" w:rsidP="00317C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</w:p>
                <w:p w:rsidR="00317CF4" w:rsidRPr="004B5781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Иные договоры и сделки, на основании которых привлекаются денежные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A3681" w:rsidRDefault="009A3681" w:rsidP="009A368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 кредитный договор № 0133-14-000505 от 30.04.2014г.  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Открытым акционерным обществом «Банк Санкт-Петербург»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Окончательный срок погашения кредита – не позднее 29 апреля 2016 года</w:t>
                  </w:r>
                  <w:r w:rsidRPr="00E629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A3681" w:rsidRPr="004B5781" w:rsidRDefault="009A3681" w:rsidP="009A368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Зарегистрирована ипотека в силу закона  регистрационный номер 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/10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дата  регистрации 2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</w:t>
                  </w:r>
                </w:p>
                <w:p w:rsidR="00E629F6" w:rsidRPr="004B5781" w:rsidRDefault="00E629F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D1" w:rsidRDefault="00B25AD1" w:rsidP="00055D0E">
      <w:pPr>
        <w:spacing w:after="0" w:line="240" w:lineRule="auto"/>
      </w:pPr>
      <w:r>
        <w:separator/>
      </w:r>
    </w:p>
  </w:endnote>
  <w:endnote w:type="continuationSeparator" w:id="0">
    <w:p w:rsidR="00B25AD1" w:rsidRDefault="00B25AD1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B25AD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3E6">
      <w:rPr>
        <w:noProof/>
      </w:rPr>
      <w:t>1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D1" w:rsidRDefault="00B25AD1" w:rsidP="00055D0E">
      <w:pPr>
        <w:spacing w:after="0" w:line="240" w:lineRule="auto"/>
      </w:pPr>
      <w:r>
        <w:separator/>
      </w:r>
    </w:p>
  </w:footnote>
  <w:footnote w:type="continuationSeparator" w:id="0">
    <w:p w:rsidR="00B25AD1" w:rsidRDefault="00B25AD1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6CC9"/>
    <w:rsid w:val="00021761"/>
    <w:rsid w:val="0002370E"/>
    <w:rsid w:val="00026616"/>
    <w:rsid w:val="000268CA"/>
    <w:rsid w:val="00030AAF"/>
    <w:rsid w:val="0003503D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75687"/>
    <w:rsid w:val="000A2406"/>
    <w:rsid w:val="000A25B9"/>
    <w:rsid w:val="000A2F63"/>
    <w:rsid w:val="000A687A"/>
    <w:rsid w:val="000B3443"/>
    <w:rsid w:val="000B3A3B"/>
    <w:rsid w:val="000B4769"/>
    <w:rsid w:val="000C1221"/>
    <w:rsid w:val="000C20B9"/>
    <w:rsid w:val="000D0C15"/>
    <w:rsid w:val="000E7861"/>
    <w:rsid w:val="000F14DC"/>
    <w:rsid w:val="00111A29"/>
    <w:rsid w:val="001128C9"/>
    <w:rsid w:val="00114567"/>
    <w:rsid w:val="0011684F"/>
    <w:rsid w:val="00123BC2"/>
    <w:rsid w:val="00175F90"/>
    <w:rsid w:val="00186A5B"/>
    <w:rsid w:val="0019413F"/>
    <w:rsid w:val="001B01F4"/>
    <w:rsid w:val="001B491B"/>
    <w:rsid w:val="001C26BB"/>
    <w:rsid w:val="001C6C02"/>
    <w:rsid w:val="001D38E2"/>
    <w:rsid w:val="001E0066"/>
    <w:rsid w:val="001E0141"/>
    <w:rsid w:val="001E1C2B"/>
    <w:rsid w:val="001F13FE"/>
    <w:rsid w:val="001F6598"/>
    <w:rsid w:val="002032D8"/>
    <w:rsid w:val="00232639"/>
    <w:rsid w:val="00237F6A"/>
    <w:rsid w:val="00240614"/>
    <w:rsid w:val="0024796F"/>
    <w:rsid w:val="002501EC"/>
    <w:rsid w:val="002503B9"/>
    <w:rsid w:val="00253FFC"/>
    <w:rsid w:val="00264AD6"/>
    <w:rsid w:val="0028065C"/>
    <w:rsid w:val="00282760"/>
    <w:rsid w:val="0029250F"/>
    <w:rsid w:val="002A0750"/>
    <w:rsid w:val="002A5E5E"/>
    <w:rsid w:val="002B419E"/>
    <w:rsid w:val="002B6E2F"/>
    <w:rsid w:val="002B7458"/>
    <w:rsid w:val="002C2C98"/>
    <w:rsid w:val="002C5820"/>
    <w:rsid w:val="002E0447"/>
    <w:rsid w:val="002E1832"/>
    <w:rsid w:val="002E1D7A"/>
    <w:rsid w:val="002E39F1"/>
    <w:rsid w:val="002F229D"/>
    <w:rsid w:val="002F64E9"/>
    <w:rsid w:val="00304961"/>
    <w:rsid w:val="00314541"/>
    <w:rsid w:val="00317CF4"/>
    <w:rsid w:val="00321423"/>
    <w:rsid w:val="00323135"/>
    <w:rsid w:val="003260EE"/>
    <w:rsid w:val="003275D3"/>
    <w:rsid w:val="00333434"/>
    <w:rsid w:val="003372D1"/>
    <w:rsid w:val="00341C8E"/>
    <w:rsid w:val="00343E78"/>
    <w:rsid w:val="00347305"/>
    <w:rsid w:val="003476BE"/>
    <w:rsid w:val="00347960"/>
    <w:rsid w:val="00350B44"/>
    <w:rsid w:val="00374C6E"/>
    <w:rsid w:val="00377280"/>
    <w:rsid w:val="0038370C"/>
    <w:rsid w:val="00392077"/>
    <w:rsid w:val="003A48B5"/>
    <w:rsid w:val="003C4AE8"/>
    <w:rsid w:val="003C70EB"/>
    <w:rsid w:val="003D2DEB"/>
    <w:rsid w:val="003D56E2"/>
    <w:rsid w:val="003D5E38"/>
    <w:rsid w:val="003F2248"/>
    <w:rsid w:val="00401B7F"/>
    <w:rsid w:val="00402D34"/>
    <w:rsid w:val="00403448"/>
    <w:rsid w:val="004043AA"/>
    <w:rsid w:val="004062D4"/>
    <w:rsid w:val="00407A98"/>
    <w:rsid w:val="00413CEE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82315"/>
    <w:rsid w:val="004854C9"/>
    <w:rsid w:val="004907AA"/>
    <w:rsid w:val="00493D43"/>
    <w:rsid w:val="0049409C"/>
    <w:rsid w:val="00496470"/>
    <w:rsid w:val="004968CC"/>
    <w:rsid w:val="004979BE"/>
    <w:rsid w:val="00497AA1"/>
    <w:rsid w:val="00497C4D"/>
    <w:rsid w:val="004A0CDD"/>
    <w:rsid w:val="004A23ED"/>
    <w:rsid w:val="004B561F"/>
    <w:rsid w:val="004B5781"/>
    <w:rsid w:val="004C3AF2"/>
    <w:rsid w:val="004D09A8"/>
    <w:rsid w:val="004E5839"/>
    <w:rsid w:val="004F1A7E"/>
    <w:rsid w:val="004F518E"/>
    <w:rsid w:val="004F595D"/>
    <w:rsid w:val="005147EB"/>
    <w:rsid w:val="00515985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3072"/>
    <w:rsid w:val="0057575D"/>
    <w:rsid w:val="00575C4E"/>
    <w:rsid w:val="00577CF4"/>
    <w:rsid w:val="00586531"/>
    <w:rsid w:val="005865AA"/>
    <w:rsid w:val="00587033"/>
    <w:rsid w:val="00592836"/>
    <w:rsid w:val="005A2C75"/>
    <w:rsid w:val="005B4DB3"/>
    <w:rsid w:val="005F4CFD"/>
    <w:rsid w:val="005F73E6"/>
    <w:rsid w:val="00600F3D"/>
    <w:rsid w:val="00611FDA"/>
    <w:rsid w:val="006149F4"/>
    <w:rsid w:val="00617377"/>
    <w:rsid w:val="0062402F"/>
    <w:rsid w:val="00627D4A"/>
    <w:rsid w:val="00630AA8"/>
    <w:rsid w:val="00631D23"/>
    <w:rsid w:val="00636933"/>
    <w:rsid w:val="006405B9"/>
    <w:rsid w:val="00642FE6"/>
    <w:rsid w:val="0064777B"/>
    <w:rsid w:val="0065064D"/>
    <w:rsid w:val="00657F7D"/>
    <w:rsid w:val="00660A12"/>
    <w:rsid w:val="0067562E"/>
    <w:rsid w:val="00681C34"/>
    <w:rsid w:val="00682CBC"/>
    <w:rsid w:val="00691ACB"/>
    <w:rsid w:val="0069364A"/>
    <w:rsid w:val="0069374B"/>
    <w:rsid w:val="00693AE4"/>
    <w:rsid w:val="00694707"/>
    <w:rsid w:val="00694A9A"/>
    <w:rsid w:val="006A65D5"/>
    <w:rsid w:val="006B1B2B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1504C"/>
    <w:rsid w:val="00715462"/>
    <w:rsid w:val="00723901"/>
    <w:rsid w:val="007254F2"/>
    <w:rsid w:val="007306FC"/>
    <w:rsid w:val="00731770"/>
    <w:rsid w:val="00732E61"/>
    <w:rsid w:val="00734C52"/>
    <w:rsid w:val="00737651"/>
    <w:rsid w:val="00741560"/>
    <w:rsid w:val="00762289"/>
    <w:rsid w:val="00765FFD"/>
    <w:rsid w:val="00787F53"/>
    <w:rsid w:val="00790B62"/>
    <w:rsid w:val="0079218D"/>
    <w:rsid w:val="00795D49"/>
    <w:rsid w:val="007B122B"/>
    <w:rsid w:val="007B7A02"/>
    <w:rsid w:val="007C2201"/>
    <w:rsid w:val="007D2C41"/>
    <w:rsid w:val="007D3E76"/>
    <w:rsid w:val="007D4653"/>
    <w:rsid w:val="007D58B6"/>
    <w:rsid w:val="007E6CE1"/>
    <w:rsid w:val="007F4677"/>
    <w:rsid w:val="00802C86"/>
    <w:rsid w:val="00810BCA"/>
    <w:rsid w:val="00834C55"/>
    <w:rsid w:val="00854EE6"/>
    <w:rsid w:val="008630AE"/>
    <w:rsid w:val="00877BB5"/>
    <w:rsid w:val="00892EA3"/>
    <w:rsid w:val="008A610D"/>
    <w:rsid w:val="008B5181"/>
    <w:rsid w:val="008C39B1"/>
    <w:rsid w:val="008C5EF8"/>
    <w:rsid w:val="008D3378"/>
    <w:rsid w:val="008D56FE"/>
    <w:rsid w:val="008E2A85"/>
    <w:rsid w:val="008F3FF8"/>
    <w:rsid w:val="008F5A52"/>
    <w:rsid w:val="008F5F84"/>
    <w:rsid w:val="00904C46"/>
    <w:rsid w:val="00910620"/>
    <w:rsid w:val="00910D6F"/>
    <w:rsid w:val="00940F22"/>
    <w:rsid w:val="00943FD1"/>
    <w:rsid w:val="00951E4B"/>
    <w:rsid w:val="0095254C"/>
    <w:rsid w:val="009529B8"/>
    <w:rsid w:val="00957D53"/>
    <w:rsid w:val="00972685"/>
    <w:rsid w:val="009770C8"/>
    <w:rsid w:val="00983A17"/>
    <w:rsid w:val="009844B8"/>
    <w:rsid w:val="0099083B"/>
    <w:rsid w:val="00992374"/>
    <w:rsid w:val="009A0290"/>
    <w:rsid w:val="009A3681"/>
    <w:rsid w:val="009B021F"/>
    <w:rsid w:val="009C5965"/>
    <w:rsid w:val="009D3710"/>
    <w:rsid w:val="009E12A0"/>
    <w:rsid w:val="009E4990"/>
    <w:rsid w:val="009F58ED"/>
    <w:rsid w:val="009F7EC3"/>
    <w:rsid w:val="00A12695"/>
    <w:rsid w:val="00A12D2C"/>
    <w:rsid w:val="00A22551"/>
    <w:rsid w:val="00A35166"/>
    <w:rsid w:val="00A40892"/>
    <w:rsid w:val="00A41590"/>
    <w:rsid w:val="00A45F66"/>
    <w:rsid w:val="00A467D5"/>
    <w:rsid w:val="00A47C38"/>
    <w:rsid w:val="00A53FBB"/>
    <w:rsid w:val="00A64010"/>
    <w:rsid w:val="00A67F34"/>
    <w:rsid w:val="00A713A7"/>
    <w:rsid w:val="00A73172"/>
    <w:rsid w:val="00A7443C"/>
    <w:rsid w:val="00A84DC6"/>
    <w:rsid w:val="00A85C9D"/>
    <w:rsid w:val="00A93DDE"/>
    <w:rsid w:val="00AA3499"/>
    <w:rsid w:val="00AA36CE"/>
    <w:rsid w:val="00AA6DE5"/>
    <w:rsid w:val="00AB2F36"/>
    <w:rsid w:val="00AC19F0"/>
    <w:rsid w:val="00AC4F10"/>
    <w:rsid w:val="00AD059B"/>
    <w:rsid w:val="00AD4D87"/>
    <w:rsid w:val="00AD5DB7"/>
    <w:rsid w:val="00AD6FCB"/>
    <w:rsid w:val="00AE3050"/>
    <w:rsid w:val="00AE7504"/>
    <w:rsid w:val="00B12950"/>
    <w:rsid w:val="00B2264F"/>
    <w:rsid w:val="00B25629"/>
    <w:rsid w:val="00B25AD1"/>
    <w:rsid w:val="00B27B06"/>
    <w:rsid w:val="00B302E9"/>
    <w:rsid w:val="00B30DB8"/>
    <w:rsid w:val="00B3233B"/>
    <w:rsid w:val="00B353D6"/>
    <w:rsid w:val="00B4543E"/>
    <w:rsid w:val="00B46C88"/>
    <w:rsid w:val="00B46DAA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9A3"/>
    <w:rsid w:val="00BA3CB3"/>
    <w:rsid w:val="00BA5864"/>
    <w:rsid w:val="00BB25AA"/>
    <w:rsid w:val="00BB4315"/>
    <w:rsid w:val="00BB4752"/>
    <w:rsid w:val="00BB724D"/>
    <w:rsid w:val="00BC1786"/>
    <w:rsid w:val="00BC1FBF"/>
    <w:rsid w:val="00BC717C"/>
    <w:rsid w:val="00BE0EFA"/>
    <w:rsid w:val="00BE26B6"/>
    <w:rsid w:val="00BE5605"/>
    <w:rsid w:val="00BE7EC6"/>
    <w:rsid w:val="00BF14D4"/>
    <w:rsid w:val="00BF46AE"/>
    <w:rsid w:val="00C014D9"/>
    <w:rsid w:val="00C041D8"/>
    <w:rsid w:val="00C12D2D"/>
    <w:rsid w:val="00C13765"/>
    <w:rsid w:val="00C220BF"/>
    <w:rsid w:val="00C3306E"/>
    <w:rsid w:val="00C35676"/>
    <w:rsid w:val="00C40F8B"/>
    <w:rsid w:val="00C42A54"/>
    <w:rsid w:val="00C55A37"/>
    <w:rsid w:val="00C56324"/>
    <w:rsid w:val="00C61FC2"/>
    <w:rsid w:val="00C63917"/>
    <w:rsid w:val="00C652BC"/>
    <w:rsid w:val="00C65F0D"/>
    <w:rsid w:val="00C70AB9"/>
    <w:rsid w:val="00C91560"/>
    <w:rsid w:val="00C94A87"/>
    <w:rsid w:val="00CB0340"/>
    <w:rsid w:val="00CC4C2B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D03000"/>
    <w:rsid w:val="00D20D4F"/>
    <w:rsid w:val="00D21E84"/>
    <w:rsid w:val="00D26ABE"/>
    <w:rsid w:val="00D338AA"/>
    <w:rsid w:val="00D41BA3"/>
    <w:rsid w:val="00D46031"/>
    <w:rsid w:val="00D46F3A"/>
    <w:rsid w:val="00D52B5C"/>
    <w:rsid w:val="00D57D74"/>
    <w:rsid w:val="00D60DED"/>
    <w:rsid w:val="00D66498"/>
    <w:rsid w:val="00D731FB"/>
    <w:rsid w:val="00D80324"/>
    <w:rsid w:val="00D930CD"/>
    <w:rsid w:val="00DA65A8"/>
    <w:rsid w:val="00DA760C"/>
    <w:rsid w:val="00DB13B6"/>
    <w:rsid w:val="00DC0854"/>
    <w:rsid w:val="00DC1E9A"/>
    <w:rsid w:val="00DC6890"/>
    <w:rsid w:val="00DD24CB"/>
    <w:rsid w:val="00DD2C68"/>
    <w:rsid w:val="00DD3DD7"/>
    <w:rsid w:val="00DE1AFD"/>
    <w:rsid w:val="00DE7384"/>
    <w:rsid w:val="00DF575D"/>
    <w:rsid w:val="00E12612"/>
    <w:rsid w:val="00E139C8"/>
    <w:rsid w:val="00E15906"/>
    <w:rsid w:val="00E2089E"/>
    <w:rsid w:val="00E21CF9"/>
    <w:rsid w:val="00E23BD2"/>
    <w:rsid w:val="00E269B4"/>
    <w:rsid w:val="00E306C9"/>
    <w:rsid w:val="00E36BB4"/>
    <w:rsid w:val="00E36DD3"/>
    <w:rsid w:val="00E44C93"/>
    <w:rsid w:val="00E4631A"/>
    <w:rsid w:val="00E46769"/>
    <w:rsid w:val="00E475B8"/>
    <w:rsid w:val="00E622DD"/>
    <w:rsid w:val="00E629F6"/>
    <w:rsid w:val="00E704B4"/>
    <w:rsid w:val="00E734A0"/>
    <w:rsid w:val="00E74CC3"/>
    <w:rsid w:val="00E770F0"/>
    <w:rsid w:val="00E77CC5"/>
    <w:rsid w:val="00E8131A"/>
    <w:rsid w:val="00E82412"/>
    <w:rsid w:val="00E83868"/>
    <w:rsid w:val="00E97624"/>
    <w:rsid w:val="00EA0C39"/>
    <w:rsid w:val="00EA469E"/>
    <w:rsid w:val="00EA6E89"/>
    <w:rsid w:val="00EE7B63"/>
    <w:rsid w:val="00EF6291"/>
    <w:rsid w:val="00F01903"/>
    <w:rsid w:val="00F0227E"/>
    <w:rsid w:val="00F035FC"/>
    <w:rsid w:val="00F055B5"/>
    <w:rsid w:val="00F059B4"/>
    <w:rsid w:val="00F06D7B"/>
    <w:rsid w:val="00F07470"/>
    <w:rsid w:val="00F2490D"/>
    <w:rsid w:val="00F57E15"/>
    <w:rsid w:val="00F6315E"/>
    <w:rsid w:val="00F63975"/>
    <w:rsid w:val="00F651B2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7314"/>
    <w:rsid w:val="00FD294B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959A-B89C-41DE-AE17-41FE377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admin</cp:lastModifiedBy>
  <cp:revision>2</cp:revision>
  <cp:lastPrinted>2014-07-28T08:46:00Z</cp:lastPrinted>
  <dcterms:created xsi:type="dcterms:W3CDTF">2014-10-18T10:57:00Z</dcterms:created>
  <dcterms:modified xsi:type="dcterms:W3CDTF">2014-10-18T10:57:00Z</dcterms:modified>
</cp:coreProperties>
</file>